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C2" w:rsidRDefault="00762AB4">
      <w:pPr>
        <w:jc w:val="center"/>
        <w:rPr>
          <w:b/>
          <w:bCs/>
        </w:rPr>
      </w:pPr>
      <w:r>
        <w:rPr>
          <w:b/>
          <w:bCs/>
        </w:rPr>
        <w:t>RESPUESTA A SAI N°: MU030T0002399</w:t>
      </w:r>
    </w:p>
    <w:p w:rsidR="00D00BC2" w:rsidRDefault="00D00BC2">
      <w:pPr>
        <w:jc w:val="center"/>
        <w:rPr>
          <w:b/>
          <w:bCs/>
        </w:rPr>
      </w:pPr>
    </w:p>
    <w:p w:rsidR="00D00BC2" w:rsidRDefault="00762AB4">
      <w:pPr>
        <w:jc w:val="both"/>
      </w:pPr>
      <w:r>
        <w:t>En respuesta a solicitud de ingresada al portal de transparencia del estado con fecha 13 de mayo del 2025.</w:t>
      </w:r>
    </w:p>
    <w:p w:rsidR="00D00BC2" w:rsidRDefault="00762AB4">
      <w:pPr>
        <w:jc w:val="both"/>
      </w:pPr>
      <w:r>
        <w:t xml:space="preserve">Se puede mencionar lo siguiente </w:t>
      </w:r>
      <w:r w:rsidR="008160AA">
        <w:t>según</w:t>
      </w:r>
      <w:r>
        <w:t xml:space="preserve"> la Orden</w:t>
      </w:r>
      <w:r w:rsidR="008160AA">
        <w:t>an</w:t>
      </w:r>
      <w:r>
        <w:t xml:space="preserve">za </w:t>
      </w:r>
      <w:r w:rsidR="008160AA">
        <w:t>Municipal D.A</w:t>
      </w:r>
      <w:r>
        <w:t xml:space="preserve"> N°10568 de fecha 31 de octubre de 2023.</w:t>
      </w:r>
    </w:p>
    <w:p w:rsidR="00D00BC2" w:rsidRDefault="00762AB4">
      <w:pPr>
        <w:jc w:val="both"/>
        <w:rPr>
          <w:b/>
          <w:bCs/>
        </w:rPr>
      </w:pPr>
      <w:r>
        <w:rPr>
          <w:b/>
          <w:bCs/>
        </w:rPr>
        <w:t>¿El maicillo y la arcilla se encuentran incluidos entre los materiales sujetos al cobro por metro cúbico extraído que establece el mencionado decreto?</w:t>
      </w:r>
    </w:p>
    <w:p w:rsidR="00D00BC2" w:rsidRDefault="00762A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Si, Están incluidos. Ver Ordenanza Municipal sobre derechos por concesiones, permisos y servicios. Articulo 6 Letra D Otros Derechos.</w:t>
      </w:r>
    </w:p>
    <w:p w:rsidR="00D00BC2" w:rsidRDefault="00762A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b/>
          <w:bCs/>
        </w:rPr>
      </w:pPr>
      <w:r>
        <w:rPr>
          <w:rFonts w:ascii="Arial" w:eastAsia="Arial" w:hAnsi="Arial" w:cs="Arial"/>
          <w:b/>
          <w:bCs/>
          <w:color w:val="000000"/>
          <w:sz w:val="24"/>
        </w:rPr>
        <w:t>En caso afirmativo, ¿existe alguna tarifa diferenciada para estos materiales, o se aplica el mismo valor general de 0,3 UTM por metro cúbico extraído?</w:t>
      </w:r>
    </w:p>
    <w:p w:rsidR="00D00BC2" w:rsidRDefault="00762A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>
        <w:rPr>
          <w:rFonts w:ascii="Arial" w:eastAsia="Arial" w:hAnsi="Arial" w:cs="Arial"/>
          <w:color w:val="000000"/>
        </w:rPr>
        <w:t>Ver Ordenanza Municipal sobre derechos por concesiones, permisos y servicios. Articulo 6 Letra D Otros Derechos. N° 2</w:t>
      </w:r>
    </w:p>
    <w:p w:rsidR="00D00BC2" w:rsidRDefault="00762A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b/>
          <w:bCs/>
        </w:rPr>
      </w:pPr>
      <w:r>
        <w:rPr>
          <w:rFonts w:ascii="Arial" w:eastAsia="Arial" w:hAnsi="Arial" w:cs="Arial"/>
          <w:b/>
          <w:bCs/>
          <w:color w:val="000000"/>
          <w:sz w:val="24"/>
        </w:rPr>
        <w:t>¿Dónde se puede revisar o solicitar el listado oficial de materiales cubiertos por el decreto, en caso de existir?</w:t>
      </w:r>
    </w:p>
    <w:p w:rsidR="00D00BC2" w:rsidRDefault="00762A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>
        <w:rPr>
          <w:rFonts w:ascii="Arial" w:eastAsia="Arial" w:hAnsi="Arial" w:cs="Arial"/>
          <w:color w:val="000000"/>
        </w:rPr>
        <w:t>Ver Ordenanza Municipal sobre derechos por concesiones, permisos y servicios. Articulo 6 Letra D Otros Derechos. N° 2</w:t>
      </w:r>
    </w:p>
    <w:p w:rsidR="00D00BC2" w:rsidRDefault="00762A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Arial" w:eastAsia="Arial" w:hAnsi="Arial" w:cs="Arial"/>
          <w:b/>
          <w:bCs/>
          <w:color w:val="000000"/>
          <w:sz w:val="24"/>
        </w:rPr>
      </w:pPr>
      <w:r>
        <w:rPr>
          <w:rFonts w:ascii="Arial" w:eastAsia="Arial" w:hAnsi="Arial" w:cs="Arial"/>
          <w:b/>
          <w:bCs/>
          <w:color w:val="000000"/>
          <w:sz w:val="24"/>
        </w:rPr>
        <w:t>¿Qué procedimiento debe seguirse para declarar, regularizar y pagar los derechos municipales por la extracción de maicillo y arcilla?</w:t>
      </w:r>
    </w:p>
    <w:p w:rsidR="00B725E0" w:rsidRDefault="002213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b/>
          <w:bCs/>
        </w:rPr>
      </w:pPr>
      <w:r>
        <w:rPr>
          <w:rFonts w:ascii="Arial" w:eastAsia="Arial" w:hAnsi="Arial" w:cs="Arial"/>
          <w:bCs/>
          <w:color w:val="000000"/>
          <w:sz w:val="24"/>
        </w:rPr>
        <w:t>Contar</w:t>
      </w:r>
      <w:bookmarkStart w:id="0" w:name="_GoBack"/>
      <w:bookmarkEnd w:id="0"/>
      <w:r w:rsidR="00385971" w:rsidRPr="008160AA">
        <w:rPr>
          <w:rFonts w:ascii="Arial" w:eastAsia="Arial" w:hAnsi="Arial" w:cs="Arial"/>
          <w:bCs/>
          <w:color w:val="000000"/>
          <w:sz w:val="24"/>
        </w:rPr>
        <w:t xml:space="preserve"> con la autorización del organismo correspondiente para</w:t>
      </w:r>
      <w:r w:rsidR="00B725E0" w:rsidRPr="008160AA">
        <w:rPr>
          <w:rFonts w:ascii="Arial" w:eastAsia="Arial" w:hAnsi="Arial" w:cs="Arial"/>
          <w:bCs/>
          <w:color w:val="000000"/>
          <w:sz w:val="24"/>
        </w:rPr>
        <w:t xml:space="preserve"> la extracción </w:t>
      </w:r>
      <w:r w:rsidR="00385971" w:rsidRPr="008160AA">
        <w:rPr>
          <w:rFonts w:ascii="Arial" w:eastAsia="Arial" w:hAnsi="Arial" w:cs="Arial"/>
          <w:bCs/>
          <w:color w:val="000000"/>
          <w:sz w:val="24"/>
        </w:rPr>
        <w:t>de áridos</w:t>
      </w:r>
      <w:r w:rsidR="008160AA">
        <w:rPr>
          <w:rFonts w:ascii="Arial" w:eastAsia="Arial" w:hAnsi="Arial" w:cs="Arial"/>
          <w:bCs/>
          <w:color w:val="000000"/>
          <w:sz w:val="24"/>
        </w:rPr>
        <w:t>, en especial aquellos que se encuentran en espacios de bienes de uso público</w:t>
      </w:r>
      <w:r w:rsidR="00385971" w:rsidRPr="008160AA">
        <w:rPr>
          <w:rFonts w:ascii="Arial" w:eastAsia="Arial" w:hAnsi="Arial" w:cs="Arial"/>
          <w:bCs/>
          <w:color w:val="000000"/>
          <w:sz w:val="24"/>
        </w:rPr>
        <w:t>. Una vez que se cuenta con dicha autorización, se deben cancelar los montos respectivos enunciados</w:t>
      </w:r>
      <w:r w:rsidR="00385971">
        <w:rPr>
          <w:rFonts w:ascii="Arial" w:eastAsia="Arial" w:hAnsi="Arial" w:cs="Arial"/>
          <w:b/>
          <w:bCs/>
          <w:color w:val="000000"/>
          <w:sz w:val="24"/>
        </w:rPr>
        <w:t xml:space="preserve"> </w:t>
      </w:r>
      <w:r w:rsidR="00385971" w:rsidRPr="008160AA">
        <w:rPr>
          <w:rFonts w:ascii="Arial" w:eastAsia="Arial" w:hAnsi="Arial" w:cs="Arial"/>
          <w:bCs/>
          <w:color w:val="000000"/>
          <w:sz w:val="24"/>
        </w:rPr>
        <w:t>en la ordenanza municipal sobre</w:t>
      </w:r>
      <w:r w:rsidR="00385971">
        <w:rPr>
          <w:rFonts w:ascii="Arial" w:eastAsia="Arial" w:hAnsi="Arial" w:cs="Arial"/>
          <w:b/>
          <w:bCs/>
          <w:color w:val="000000"/>
          <w:sz w:val="24"/>
        </w:rPr>
        <w:t xml:space="preserve"> </w:t>
      </w:r>
      <w:r w:rsidR="008160AA">
        <w:rPr>
          <w:rFonts w:ascii="Arial" w:eastAsia="Arial" w:hAnsi="Arial" w:cs="Arial"/>
          <w:color w:val="000000"/>
        </w:rPr>
        <w:t>derechos por c</w:t>
      </w:r>
      <w:r w:rsidR="00C73C1D">
        <w:rPr>
          <w:rFonts w:ascii="Arial" w:eastAsia="Arial" w:hAnsi="Arial" w:cs="Arial"/>
          <w:color w:val="000000"/>
        </w:rPr>
        <w:t xml:space="preserve">oncesiones, permisos y servicios. Para el pago de los derechos respectivos debe dirigirse a la Dirección de Obras Municipales en horario de 8:30 a 14:00 horas. Se sugiere la coordinación de esta acción al correo electrónico </w:t>
      </w:r>
      <w:hyperlink r:id="rId7" w:history="1">
        <w:r w:rsidR="00C73C1D" w:rsidRPr="008D67A9">
          <w:rPr>
            <w:rStyle w:val="Hipervnculo"/>
            <w:rFonts w:ascii="Arial" w:eastAsia="Arial" w:hAnsi="Arial" w:cs="Arial"/>
          </w:rPr>
          <w:t>secretaria.dom@municipalidadcasablanca.cl</w:t>
        </w:r>
      </w:hyperlink>
      <w:r w:rsidR="00C73C1D">
        <w:rPr>
          <w:rFonts w:ascii="Arial" w:eastAsia="Arial" w:hAnsi="Arial" w:cs="Arial"/>
          <w:color w:val="000000"/>
        </w:rPr>
        <w:t xml:space="preserve"> </w:t>
      </w:r>
    </w:p>
    <w:p w:rsidR="00D00BC2" w:rsidRDefault="00D00BC2">
      <w:pPr>
        <w:jc w:val="both"/>
      </w:pPr>
    </w:p>
    <w:sectPr w:rsidR="00D00BC2">
      <w:headerReference w:type="default" r:id="rId8"/>
      <w:footerReference w:type="default" r:id="rId9"/>
      <w:pgSz w:w="11906" w:h="16838"/>
      <w:pgMar w:top="1559" w:right="1418" w:bottom="1134" w:left="1418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C2" w:rsidRDefault="00762AB4">
      <w:pPr>
        <w:spacing w:after="0" w:line="240" w:lineRule="auto"/>
      </w:pPr>
      <w:r>
        <w:separator/>
      </w:r>
    </w:p>
  </w:endnote>
  <w:endnote w:type="continuationSeparator" w:id="0">
    <w:p w:rsidR="00D00BC2" w:rsidRDefault="0076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C2" w:rsidRDefault="00762AB4">
    <w:pPr>
      <w:pStyle w:val="Piedepgina"/>
      <w:rPr>
        <w:sz w:val="18"/>
        <w:szCs w:val="18"/>
      </w:rPr>
    </w:pPr>
    <w:r>
      <w:rPr>
        <w:sz w:val="18"/>
        <w:szCs w:val="18"/>
      </w:rPr>
      <w:t xml:space="preserve">Ilustre Municipalidad de Casablanca/Av. </w:t>
    </w:r>
    <w:proofErr w:type="spellStart"/>
    <w:r>
      <w:rPr>
        <w:sz w:val="18"/>
        <w:szCs w:val="18"/>
      </w:rPr>
      <w:t>Constitucion</w:t>
    </w:r>
    <w:proofErr w:type="spellEnd"/>
    <w:r>
      <w:rPr>
        <w:sz w:val="18"/>
        <w:szCs w:val="18"/>
      </w:rPr>
      <w:t xml:space="preserve"> 111/Fono (32) 2277400/www.municipalidadcasablanca.cl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C2" w:rsidRDefault="00762AB4">
      <w:pPr>
        <w:spacing w:after="0" w:line="240" w:lineRule="auto"/>
      </w:pPr>
      <w:r>
        <w:separator/>
      </w:r>
    </w:p>
  </w:footnote>
  <w:footnote w:type="continuationSeparator" w:id="0">
    <w:p w:rsidR="00D00BC2" w:rsidRDefault="0076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C2" w:rsidRDefault="00762AB4">
    <w:pPr>
      <w:pStyle w:val="Encabezado"/>
    </w:pPr>
    <w:r>
      <w:rPr>
        <w:noProof/>
        <w:lang w:val="es-CL" w:eastAsia="es-CL"/>
      </w:rPr>
      <mc:AlternateContent>
        <mc:Choice Requires="wpg">
          <w:drawing>
            <wp:inline distT="0" distB="0" distL="0" distR="0">
              <wp:extent cx="1061124" cy="819960"/>
              <wp:effectExtent l="0" t="0" r="0" b="0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3387454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61124" cy="819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83.55pt;height:64.56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B5DAC"/>
    <w:multiLevelType w:val="multilevel"/>
    <w:tmpl w:val="C166E7F2"/>
    <w:lvl w:ilvl="0">
      <w:start w:val="1"/>
      <w:numFmt w:val="bullet"/>
      <w:lvlText w:val="·"/>
      <w:lvlJc w:val="left"/>
      <w:pPr>
        <w:ind w:left="105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777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497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321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937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657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37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6097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817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5DEC5FAA"/>
    <w:multiLevelType w:val="multilevel"/>
    <w:tmpl w:val="8A4E5022"/>
    <w:lvl w:ilvl="0">
      <w:start w:val="1"/>
      <w:numFmt w:val="bullet"/>
      <w:lvlText w:val="·"/>
      <w:lvlJc w:val="left"/>
      <w:pPr>
        <w:ind w:left="1058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778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498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321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938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658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37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6098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818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67736A43"/>
    <w:multiLevelType w:val="multilevel"/>
    <w:tmpl w:val="916432D0"/>
    <w:lvl w:ilvl="0">
      <w:start w:val="1"/>
      <w:numFmt w:val="bullet"/>
      <w:lvlText w:val="·"/>
      <w:lvlJc w:val="left"/>
      <w:pPr>
        <w:ind w:left="105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777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497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321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937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657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37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6097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817" w:hanging="360"/>
      </w:pPr>
      <w:rPr>
        <w:rFonts w:ascii="Symbol" w:eastAsia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C2"/>
    <w:rsid w:val="00221380"/>
    <w:rsid w:val="00385971"/>
    <w:rsid w:val="00762AB4"/>
    <w:rsid w:val="008160AA"/>
    <w:rsid w:val="00B725E0"/>
    <w:rsid w:val="00C73C1D"/>
    <w:rsid w:val="00D0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AFFF"/>
  <w15:docId w15:val="{5CD4DAF1-BC1A-4EA6-900A-5A90DE0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Descripci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TDC1">
    <w:name w:val="toc 1"/>
    <w:basedOn w:val="Normal"/>
    <w:next w:val="Normal"/>
    <w:uiPriority w:val="39"/>
    <w:unhideWhenUsed/>
    <w:pPr>
      <w:spacing w:after="100"/>
    </w:pPr>
  </w:style>
  <w:style w:type="paragraph" w:styleId="TD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.dom@municipalidad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</cp:lastModifiedBy>
  <cp:revision>3</cp:revision>
  <dcterms:created xsi:type="dcterms:W3CDTF">2025-06-06T19:08:00Z</dcterms:created>
  <dcterms:modified xsi:type="dcterms:W3CDTF">2025-06-09T12:42:00Z</dcterms:modified>
</cp:coreProperties>
</file>